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3C8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33CCC0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0AA747" w14:textId="77777777" w:rsidR="006E0993" w:rsidRDefault="006E0993" w:rsidP="006E0993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E3EF35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66E843" w14:textId="3843707B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05E90E36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8D2E61D" w14:textId="6F4B24F4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 w:rsidR="00A01F50">
        <w:rPr>
          <w:rFonts w:asciiTheme="minorHAnsi" w:hAnsiTheme="minorHAnsi" w:cstheme="minorHAnsi"/>
          <w:b/>
          <w:sz w:val="22"/>
          <w:szCs w:val="22"/>
        </w:rPr>
        <w:t>4</w:t>
      </w:r>
    </w:p>
    <w:p w14:paraId="2DD2BEBA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171D4C" w14:textId="77777777" w:rsidR="00A01F50" w:rsidRPr="00937092" w:rsidRDefault="00A01F50" w:rsidP="00A01F50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7092">
        <w:rPr>
          <w:rFonts w:asciiTheme="minorHAnsi" w:hAnsiTheme="minorHAnsi" w:cstheme="minorHAnsi"/>
          <w:b/>
          <w:sz w:val="20"/>
          <w:szCs w:val="20"/>
        </w:rPr>
        <w:t>Przedmiot zamówienia:</w:t>
      </w:r>
    </w:p>
    <w:p w14:paraId="47CBABB3" w14:textId="77777777" w:rsidR="00A01F50" w:rsidRPr="00937092" w:rsidRDefault="00A01F50" w:rsidP="00A01F50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B86C99E" w14:textId="77777777" w:rsidR="00A01F50" w:rsidRPr="00937092" w:rsidRDefault="00A01F50" w:rsidP="00A01F50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37092">
        <w:rPr>
          <w:rFonts w:asciiTheme="minorHAnsi" w:hAnsiTheme="minorHAnsi" w:cstheme="minorHAnsi"/>
          <w:b/>
          <w:bCs/>
          <w:sz w:val="20"/>
          <w:szCs w:val="20"/>
        </w:rPr>
        <w:t>Pompy infuzyjne:</w:t>
      </w:r>
    </w:p>
    <w:p w14:paraId="2CF19934" w14:textId="77777777" w:rsidR="00A01F50" w:rsidRPr="00937092" w:rsidRDefault="00A01F50" w:rsidP="00A01F50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937092">
        <w:rPr>
          <w:rFonts w:asciiTheme="minorHAnsi" w:hAnsiTheme="minorHAnsi" w:cstheme="minorHAnsi"/>
          <w:b/>
          <w:bCs/>
          <w:sz w:val="20"/>
          <w:szCs w:val="20"/>
        </w:rPr>
        <w:t>Strzykawkowe</w:t>
      </w:r>
      <w:proofErr w:type="spellEnd"/>
      <w:r w:rsidRPr="00937092">
        <w:rPr>
          <w:rFonts w:asciiTheme="minorHAnsi" w:hAnsiTheme="minorHAnsi" w:cstheme="minorHAnsi"/>
          <w:b/>
          <w:bCs/>
          <w:sz w:val="20"/>
          <w:szCs w:val="20"/>
        </w:rPr>
        <w:t xml:space="preserve"> – 40 szt.</w:t>
      </w:r>
    </w:p>
    <w:p w14:paraId="4B8F1B75" w14:textId="77777777" w:rsidR="00A01F50" w:rsidRPr="00937092" w:rsidRDefault="00A01F50" w:rsidP="00A01F50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37092">
        <w:rPr>
          <w:rFonts w:asciiTheme="minorHAnsi" w:hAnsiTheme="minorHAnsi" w:cstheme="minorHAnsi"/>
          <w:b/>
          <w:bCs/>
          <w:sz w:val="20"/>
          <w:szCs w:val="20"/>
        </w:rPr>
        <w:t>Infuzyjne – 8 szt.</w:t>
      </w:r>
    </w:p>
    <w:p w14:paraId="194DD3DF" w14:textId="77777777" w:rsidR="00A01F50" w:rsidRPr="00937092" w:rsidRDefault="00A01F50" w:rsidP="00A01F50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59C5E255" w14:textId="4CE555B8" w:rsidR="00A01F50" w:rsidRPr="00937092" w:rsidRDefault="00A01F50" w:rsidP="00A01F50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937092">
        <w:rPr>
          <w:rFonts w:asciiTheme="minorHAnsi" w:hAnsiTheme="minorHAnsi" w:cstheme="minorHAnsi"/>
          <w:sz w:val="20"/>
          <w:szCs w:val="20"/>
        </w:rPr>
        <w:t>Nazwa producenta: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937092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1788CC4B" w14:textId="77777777" w:rsidR="00A01F50" w:rsidRPr="00937092" w:rsidRDefault="00A01F50" w:rsidP="00A01F50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937092">
        <w:rPr>
          <w:rFonts w:asciiTheme="minorHAnsi" w:hAnsiTheme="minorHAnsi" w:cstheme="minorHAnsi"/>
          <w:sz w:val="20"/>
          <w:szCs w:val="20"/>
        </w:rPr>
        <w:t>Nazwa i typ:</w:t>
      </w:r>
      <w:r w:rsidRPr="00937092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761224EC" w14:textId="77777777" w:rsidR="00A01F50" w:rsidRPr="00937092" w:rsidRDefault="00A01F50" w:rsidP="00A01F50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106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741"/>
        <w:gridCol w:w="2268"/>
        <w:gridCol w:w="2985"/>
      </w:tblGrid>
      <w:tr w:rsidR="00A01F50" w:rsidRPr="00937092" w14:paraId="687A534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1F5D1C" w14:textId="77777777" w:rsidR="00A01F50" w:rsidRPr="00937092" w:rsidRDefault="00A01F50" w:rsidP="003B2E29">
            <w:pPr>
              <w:pStyle w:val="Standard"/>
              <w:widowControl w:val="0"/>
              <w:ind w:left="17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L. p.</w:t>
            </w:r>
          </w:p>
        </w:tc>
        <w:tc>
          <w:tcPr>
            <w:tcW w:w="47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B43B9E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Parametr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3F1495" w14:textId="06A4F253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Wymagany parametr (spełnienie wymagań) TAK/PODAĆ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F0546C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Parametry – potwierdzenie spełnienia wymogów</w:t>
            </w:r>
          </w:p>
        </w:tc>
      </w:tr>
      <w:tr w:rsidR="00A01F50" w:rsidRPr="00937092" w14:paraId="1605C0A7" w14:textId="77777777" w:rsidTr="003B2E29">
        <w:trPr>
          <w:cantSplit/>
          <w:trHeight w:val="23"/>
          <w:jc w:val="center"/>
        </w:trPr>
        <w:tc>
          <w:tcPr>
            <w:tcW w:w="106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EDEDED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7D8DF92" w14:textId="77777777" w:rsidR="00A01F50" w:rsidRPr="00937092" w:rsidRDefault="00A01F50" w:rsidP="00A01F50">
            <w:pPr>
              <w:pStyle w:val="Standard"/>
              <w:widowControl w:val="0"/>
              <w:ind w:left="17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 xml:space="preserve">Pompa infuzyjna </w:t>
            </w:r>
            <w:proofErr w:type="spellStart"/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strzykawkowa</w:t>
            </w:r>
            <w:proofErr w:type="spellEnd"/>
          </w:p>
        </w:tc>
      </w:tr>
      <w:tr w:rsidR="00A01F50" w:rsidRPr="00937092" w14:paraId="1ED3A5D9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5BC8D9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1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D920D7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Pompa infuzyjna strzykawka do infuzji dożylnej lub podskórnej u pacjentów dorosłych, dzieci i noworodków w przerywanych lub ciągłych infuzjach płynów pozajelitowych, leków, krwi i preparatów krwiopochodnych.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71C507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448FB0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73E9C5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88E28E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0C52E05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Zasilanie sieciowe AC 230 V 50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7833D7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0D9312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96969D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00E89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E8803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Ochrona przed wilgocią min. IP 32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8A914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F3EA1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CAE8D1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C0F7C3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91CE22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Zasilanie pompy bezpośrednio z sieci za pomocą kabla, zasilacz wbudowany wewnątrz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41DF24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BE35E8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3B7249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F6713E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736461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Zasilanie z akumulatora wewnętrznego min. 13h przy przepływie 25 ml/h i min. 17h przy przepływie 5 ml/h. Czas ponownego ładowania baterii pon. 7h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DEA07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8BE32F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31365F4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403D1C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92C09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Lampka kontrolna zasilania oraz wskaźnik stanu naładowania akumulatora widoczne na płycie czołowej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F334C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E3C7A8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72A8F1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DF1B110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C2261D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Urządzenie wyposażone w klawiaturę symboliczną; ułatwiającą szybkie programowanie infuzji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E115E3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B57176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7E4C92E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BFF45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D0D940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Urządzenie wyposażone w automatyczną blokadę klawiatury.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CF4DC5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8B68D0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2BA415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AAC16C2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F1F9E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Masa pompy wraz z uchwytem do mocowania na stojaku lub szynie max. 2,2 kg.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C0CDC3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685CB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0A872F5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E6A2E9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A89BA8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0C5DA4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153E50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2C6DF5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F2EF91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17A5D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Mocowanie strzykawki do czoła pompy, cała strzykawka stale widoczna podczas pracy pompy z pełną swobodą odczytania objętości ze skali strzykawki, a nie na ekranie pompy oraz możliwością wizualnej kontroli infuzji.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41F22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2F3EC8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18BCA7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2742CE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DEBA19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Pełne mocowanie strzykawki możliwe zarówno przy włączonej jak i wyłączonej pompie – system obsługiwany całkowicie manualnie.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A3DC0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3BCF4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3547D9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AE3BBE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DAC8A5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Osłona tłoka strzykawki uniemożliwiająca wciśnięcie tłoka strzykawki zamontowanej w pompie.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4454B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B72EF5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513166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B62473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54035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Pompa skalibrowana do pracy co najmniej ze strzykawkami o objętości 5, 10, 20, 30 i 50/60 ml różnych typów oraz różnych producentów.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61211E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E4696C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718321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8502E0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02F25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Automatyczna funkcja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antybolus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po okluzji – zabezpieczenie przed podaniem niekontrolowanego bolusa po alarmie okluzji, ograniczenie bolusa &lt; 0,35 ml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71738F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0F0206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58E3F8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6465D06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46B594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Zakres szybkości infuzji min. od 0,1 – 1200 ml/godz.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4D48D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0F1567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810ECD0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D2848C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D7DDF2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Zmiana szybkości infuzji bez konieczności przerywania wlewu.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E7A12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11F47C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95A998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C59D3D6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D207E4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programowania infuzji w jednostkach na minutę, godzinę, wagę i powierzchnię.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29932D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A408C7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1AA68E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C1F05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2E414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Bolus podawany na żądanie bez konieczności wstrzymywania trwającej infuzji,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8BFEF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CC0207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C248B6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87EA98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63FA049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Dostępne 2 rodzaje bolusa (programowalny i ręczny), plus dodatkowo manualne przesunięcie tłoka strzykawki z funkcją zliczania i prezentacji podanej objętości na ekranie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F4ECE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C3158B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696EC25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104564B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E6F425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Szybkość bolusa min. 50–1200 ml/h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D515EF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5B6307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5C76DCE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9224D69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4008BC4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Bolus programowany.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3FE90C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805137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D0AB79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ECC4192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CFC2753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Automatyczne obliczanie szybkości bolusa.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07D783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879A06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A17EB6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3278BF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E4EFD26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Ciągły pomiar ciśnienia w linii zobrazowany w postaci piktogramu na ekranie pompy.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52526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C300AB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636F816" w14:textId="77777777" w:rsidTr="003B2E29">
        <w:trPr>
          <w:cantSplit/>
          <w:trHeight w:val="541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AE3E28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9374C6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Ustawianie poziomu ciśnienia okluzji – min. 3 jednostki do wyboru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F3AD8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5475C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7E0ABB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5D81E97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F1A3BF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Ustawianie poziomu ciśnienia okluzji – min. 20 poziomów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C7BDDB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F5343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194CCB62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128A33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F0A21A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Możliwość programowania parametrów infuzji min. w jednostkach: mg/min, mg/h, mg/24h, mg/kg/min, mg/kg/h, mg/kg/24h, mg/m/h, mg/m/24h, g/h, g/kg/min, g/kg/h, g/kg/24h,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/h,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/kg/h,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>/kg/24h, kcal/h, kcal/24h, kcal/kg/h.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2B94DF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9F00DC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6E34B9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23246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3846E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Dynamiczny System Ciśnienia – typu DPS – ostrzega o zmianach ciśnienia przed pojawieniem się alarmu okluzji.</w:t>
            </w:r>
          </w:p>
          <w:p w14:paraId="4F05E53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Można w ten sposób przewidzieć ryzyko zatkania lub potencjalnego wycieku z przewodu do wlewu.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0363C4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BB3417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D7D083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8D8E0F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33C15A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Monochromatyczny graficzny wyświetlacz LCD lub kolorowy wyświetlacz o wymiarach min. 70 mm × 35 mm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317E6B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6FB9B2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E8E7E2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B1951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B0EB5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Rejestr mogący pomieścić do 1500 zdarzeń.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4168F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D645E9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0450150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B8BA00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87D76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KVO - Zróżnicowana prędkość KVO z możliwością programowania szybkości od 0,1 do 5 ml/h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60867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12F4C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9412AE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250021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26C6C9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Sygnalizacja wahań ciśnienia w linii, pozwalająca przewidzieć niebezpieczeństwo pojawienia się okluzji lub nieszczelności.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48EC6F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473604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F4FAC5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417D91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1EFA31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– przerwa (stand-by) w zakresie od 1 min. do 24 godzin programowany co 1 minutę.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150867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44612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04D6F3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92B000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76C8E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Urządzenie wyposażone w tryb dzienny i nocny z opcją przełączania między trybami ręcznie i automatycznie.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406206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A1705F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D9A25A2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B03C3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502DC67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Komunikaty tekstowe w języku polskim.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9CE3C2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7E66AC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6EC0EB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DA2A88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428BD8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wyświetlania trendów objętości, szybkości infuzji oraz ciśnienia.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FBC68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FAE9E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63A2D1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8FE885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C101A5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Wbudowana w pompę możliwość dopasowana ustawień oraz zawartości menu do potrzeb oddziału.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268C57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6C851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8FEFAEE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E11A50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BB16B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wgrania biblioteki leków.</w:t>
            </w:r>
          </w:p>
          <w:p w14:paraId="7262AE3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Biblioteka leków, min. 200 leków.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C3328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75385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E26FF4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8ED656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6593F9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Akustyczno-optyczny system alarmów i ostrzeżeń.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E9961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430C5F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D1A6E1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1D08C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9E5E7D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pustej strzykawki.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FD375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44102F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898EC99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FECF2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5D369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przypominający –zatrzymana infuzja.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6037C7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CAE3F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039C15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DB9904E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2E201A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okluzji.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3669DD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2C30F9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20D022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BAE3E5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C5B85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rozłączenia linii – spadku ciśnienia.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A3E780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8FF09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9F7EB3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819833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5CAB88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rozładowanego akumulatora.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D16090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1663B2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B7B23E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707384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B05FF6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braku lub źle założonej strzykawki.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0244B4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B684DB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C16E990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E1E13E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2EDCEB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otwartego uchwytu komory strzykawki.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2142C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0C0B3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6F471EE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0B161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25AABC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informujący o uszkodzeniu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B7D833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9204B4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A4EFD4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AC3857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E3DD1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zbliżającego się rozładowania akumulatora.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5A5209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AE0BA1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948CC2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56BA1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12D305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blokady klawiatury.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DA521D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31149C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2DD26E9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8CD0B7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D3D0A5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bliskiego końca infuzji z możliwością zaprogramowania czasu w zakresie min. 1-30 minut.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C2F4C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735B7E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C84EDCC" w14:textId="77777777" w:rsidTr="003B2E29">
        <w:trPr>
          <w:cantSplit/>
          <w:trHeight w:val="561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92A7422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B6451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łączenia pomp w moduły bez użycia dodatkowych elementów.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785AD8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5E8E4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5CA22D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A360D6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0C6AE4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W tym 2 szt. pomp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strzykawkowych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TIVA/TCI</w:t>
            </w:r>
          </w:p>
          <w:p w14:paraId="2118F75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wykorzystywania pomp do znieczuleń dożylnych działająca w oparciu o modele farmakokinetyczne TCI dla najszerszej możliwej populacji pacjentów, w tym dla dzieci</w:t>
            </w:r>
          </w:p>
          <w:p w14:paraId="55D6AA9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</w:p>
          <w:p w14:paraId="275C1E3B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Pompa posiadająca tryb TCI</w:t>
            </w:r>
            <w:r w:rsidRPr="00937092">
              <w:rPr>
                <w:rFonts w:asciiTheme="minorHAnsi" w:hAnsiTheme="minorHAnsi" w:cstheme="minorHAnsi"/>
                <w:sz w:val="20"/>
              </w:rPr>
              <w:t xml:space="preserve"> z następującymi modelami farmakokinetycznymi, min.:</w:t>
            </w:r>
          </w:p>
          <w:p w14:paraId="14008511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• Marsh &amp;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Schnider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dla podawania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Propofolu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u dorosłych.</w:t>
            </w:r>
          </w:p>
          <w:p w14:paraId="72FDA98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•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Kataria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&amp;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Paedfusor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dla podawania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Propofolu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u dzieci.</w:t>
            </w:r>
          </w:p>
          <w:p w14:paraId="085D7D6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• Minto,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Gepts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&amp; Scott dla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Remifentanilu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Sufentanilu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i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Alfentanilu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>.</w:t>
            </w:r>
          </w:p>
          <w:p w14:paraId="05A0BEB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•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Eleveld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dla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Propofolu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i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Remifentanylu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u dorosłych i u dzieci.</w:t>
            </w:r>
          </w:p>
          <w:p w14:paraId="02C08A2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F81E68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576488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76EB621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6A74EDF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B89A6C5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 xml:space="preserve">Oferowane pompy kompatybilne z posiadanymi przez Zamawiającego stacjami </w:t>
            </w:r>
            <w:proofErr w:type="spellStart"/>
            <w:r w:rsidRPr="00A01F50">
              <w:rPr>
                <w:rFonts w:asciiTheme="minorHAnsi" w:hAnsiTheme="minorHAnsi" w:cstheme="minorHAnsi"/>
                <w:sz w:val="20"/>
              </w:rPr>
              <w:t>Agilia</w:t>
            </w:r>
            <w:proofErr w:type="spellEnd"/>
            <w:r w:rsidRPr="00A01F50">
              <w:rPr>
                <w:rFonts w:asciiTheme="minorHAnsi" w:hAnsiTheme="minorHAnsi" w:cstheme="minorHAnsi"/>
                <w:sz w:val="20"/>
              </w:rPr>
              <w:t xml:space="preserve"> Link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CF7A4E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493D8A7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B27F6F3" w14:textId="77777777" w:rsidTr="003B2E29">
        <w:trPr>
          <w:cantSplit/>
          <w:trHeight w:val="23"/>
          <w:jc w:val="center"/>
        </w:trPr>
        <w:tc>
          <w:tcPr>
            <w:tcW w:w="106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EDEDED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1F3458" w14:textId="77777777" w:rsidR="00A01F50" w:rsidRPr="00937092" w:rsidRDefault="00A01F50" w:rsidP="00A01F50">
            <w:pPr>
              <w:pStyle w:val="Standard"/>
              <w:widowControl w:val="0"/>
              <w:ind w:left="17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Pompa infuzyjna objętościowa</w:t>
            </w:r>
          </w:p>
        </w:tc>
      </w:tr>
      <w:tr w:rsidR="00A01F50" w:rsidRPr="00937092" w14:paraId="5665043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739A01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8BF8E1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Pompa objętościowa przeznaczona do podawania pacjentom dorosłym, dzieciom i noworodkom w przerywanych lub ciągłych infuzjach płynów pozajelitowych (takich jak roztwory, roztwory koloidalne, żywienie pozajelitowe), leków (takich jak leki rozcieńczone, chemioterapia czy leki znieczulające), krwi i preparatów krwiopochodnych oraz leków, przy wykorzystaniu zatwierdzonych klinicznie dróg podawania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7B9D16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EA260B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11FBC7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C60044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A91F902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Zasilanie sieciowe AC 230 V 50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D0A7EF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B4CCC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1ECA6AE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98EDFF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334820" w14:textId="783EB3E4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Ochrona przed wilgocią min. IP 32</w:t>
            </w:r>
            <w:r>
              <w:rPr>
                <w:rFonts w:asciiTheme="minorHAnsi" w:hAnsiTheme="minorHAnsi" w:cstheme="minorHAnsi"/>
                <w:sz w:val="20"/>
              </w:rPr>
              <w:t xml:space="preserve"> lub równoważne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629FF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5A04E6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AF24F6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EC30BD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BAA44D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Zasilanie pompy bezpośrednio z sieci za pomocą kabla, zasilacz wbudowany wewnątrz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E2102E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78C38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4EEACAE0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CDC6306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DCFEA1F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Zasilanie z akumulatora wewnętrznego min. 13h przy przepływie 25 ml/h i min. 17h przy przepływie 5 ml/h. Czas ponownego ładowania baterii pon. 7h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C55745E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55DEA1B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E61F59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75CEA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852631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Lampka kontrolna zasilania oraz wskaźnik stanu naładowania akumulatora widoczne na płycie czołowej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1723F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7CC298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1FB5ADC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184C25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22E05A1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Urządzenie wyposażone w klawiaturę symboliczną; ułatwiającą szybkie programowanie infuzji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A9AB153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B91B40F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6D2262F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7D81DE2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FF2D3C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Urządzenie wyposażone w automatyczną blokadę klawiatury.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077313C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A8ADDB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00B6DF2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B3C0868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1B53B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Masa pompy wraz z uchwytem do mocowania na stojaku lub szynie max. 2 kg.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867C729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0503966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3A5ACFC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29C1153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8514012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13CA3E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4273A2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598B10B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E24C3A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C9330B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Czas infuzji min. w zakresie 0h01min – 168h00min.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5C11960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BF74E7D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5B9643D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70D0755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9DF3353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Objętość do podania w infuzji min. 0,1 - 9999 ml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C0E31F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CD612A7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C1EF8F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EB591A2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6A0B75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Tryby infuzji minimum:</w:t>
            </w:r>
          </w:p>
          <w:p w14:paraId="5EA7378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• Tryb ml/h</w:t>
            </w:r>
          </w:p>
          <w:p w14:paraId="5009766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Objętość / czas / szybkość lub kombinacja dwóch parametrów (np. objętość / czas)</w:t>
            </w:r>
          </w:p>
          <w:p w14:paraId="16112BA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Sekwencyjny/okresowy</w:t>
            </w:r>
          </w:p>
          <w:p w14:paraId="2BC3BF3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• Tryb kalkulacji dawki z uwzględnieniem lub nie masy ciała pacjenta oraz z możliwością przeliczenia na min, h, 24h</w:t>
            </w:r>
          </w:p>
          <w:p w14:paraId="0F8C7BC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• Z dawką nasycającą lub bez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B74408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5DB60D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59B83B3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B42D66E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E290F9B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Możliwość infuzji wykonywanej w sekwencjach - min. 20 kroków, definiowana osobno dla każdej sekwencji objętością do podania i prędkością przepływu infuzji.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487863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F3F47F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0F87EBA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BC5D767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E53308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 xml:space="preserve">Automatyczna funkcja </w:t>
            </w:r>
            <w:proofErr w:type="spellStart"/>
            <w:r w:rsidRPr="00A01F50">
              <w:rPr>
                <w:rFonts w:asciiTheme="minorHAnsi" w:hAnsiTheme="minorHAnsi" w:cstheme="minorHAnsi"/>
                <w:sz w:val="20"/>
              </w:rPr>
              <w:t>antybolus</w:t>
            </w:r>
            <w:proofErr w:type="spellEnd"/>
            <w:r w:rsidRPr="00A01F50">
              <w:rPr>
                <w:rFonts w:asciiTheme="minorHAnsi" w:hAnsiTheme="minorHAnsi" w:cstheme="minorHAnsi"/>
                <w:sz w:val="20"/>
              </w:rPr>
              <w:t xml:space="preserve"> po okluzji – zabezpieczenie przed podaniem niekontrolowanego bolusa po alarmie okluzji, ograniczenie bolusa &lt; 0,35 ml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6E37E9D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07D3C87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030F9822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68FD39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2C76873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Zakres szybkości infuzji min. od 0,1 – 1500 ml/godz.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6FEB71B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C34A8A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73061BE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84BF78B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6442E6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Regulacja szybkości infuzji:</w:t>
            </w:r>
          </w:p>
          <w:p w14:paraId="52675340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-  co 0,1 ml/h w zakresie 10–99,9 ml/h (opcjonalnie 0,01 ml/h w zakresie 0,1–9,99 ml/h),</w:t>
            </w:r>
          </w:p>
          <w:p w14:paraId="60F1A9C5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-  co 1 ml/h w zakresie min. 100–1500 ml/h.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0ADD82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E09020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603DFB6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C69458F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D9E544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Zmiana szybkości infuzji bez konieczności przerywania wlewu.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E1496D1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EA9409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27FF2F9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4E19779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D7CD1A1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Możliwość programowania infuzji w jednostkach na minutę, godzinę, wagę i powierzchnię.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82CAB4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CA74497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1EAC0AC0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3D1B2CA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EC49752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Bolus podawany na żądanie bez konieczności wstrzymywania trwającej infuzji,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6EDF782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23D2473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141ED6D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925195A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F4A74FA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Szybkość bolusa min. 50–1500 ml/h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676682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7863EAB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6DEE181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E243909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EAD0D0C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Bolus programowany.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FDA6C16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97162F4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D42E85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1FD27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9DA3FC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Automatyczne obliczanie szybkości bolusa.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4CE7F2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0EFDEC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618F9E6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AD910B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4637A5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Ciągły pomiar ciśnienia w linii zobrazowany w postaci piktogramu na ekranie pompy.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7598CD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7BD14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8255A2C" w14:textId="77777777" w:rsidTr="003B2E29">
        <w:trPr>
          <w:cantSplit/>
          <w:trHeight w:val="541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737A340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C7EBF05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Ustawianie poziomu ciśnienia okluzji – min. 3 jednostki do wyboru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572E47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3B3147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363C495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011942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132D990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Ustawianie poziomu ciśnienia okluzji – min. 19 poziomów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D12209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0137A00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C43DB0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1D5C5D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11407B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Możliwość programowania parametrów infuzji min. w jednostkach: mg/min, mg/h, mg/24h, mg/kg/min, mg/kg/h, mg/kg/24h, mg/m/h, mg/m/24h, g/h, g/kg/min, g/kg/h, g/kg/24h,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/h,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/kg/h,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mmol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>/kg/24h, kcal/h, kcal/24h, kcal/kg/h.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87921A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A0C7DD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5998DCB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2373B92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BF50C36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Dynamiczny System Ciśnienia – DPS – ostrzega o zmianach ciśnienia przed pojawieniem się alarmu okluzji.</w:t>
            </w:r>
          </w:p>
          <w:p w14:paraId="22E221A1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Można w ten sposób przewidzieć ryzyko zatkania lub potencjalnego wycieku z przewodu do wlewu.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30D5D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4883CFF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FE872A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57A59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78F85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Monochromatyczny graficzny wyświetlacz LCD lub kolorowy wyświetlacz o wymiarach min. 70 mm × 35 mm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CDBCA9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F7EA6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9A791F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383F09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B2F03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Rejestr mogący pomieścić do 1500 zdarzeń.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6B50E8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AFBD1A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370F30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C97B2CE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2B36F44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KVO - Zróżnicowana prędkość KVO z możliwością programowania szybkości od 0,1 do 20 ml/h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C042C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CF3D5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A399942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F28CEE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B97437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Sygnalizacja wahań ciśnienia w linii, pozwalająca przewidzieć niebezpieczeństwo pojawienia się okluzji lub nieszczelności.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03551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BE423A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BC9286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EB96B0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A4B63D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Wszystkie zestawy współpracujące z pompą wyposażone są w automatycznie blokowany zacisk, zapobiegający swobodnemu przepływowi po otwarciu drzwiczek pompy oraz zacisk rolkowy na drenie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9417AB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00E330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E268C1C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F1FD77B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39A458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– przerwa (stand-by) w zakresie od 1 min. do 24 godzin programowany co 1 minutę.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06B111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7B2AD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3A2A7CE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7DA010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6531AB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Urządzenie wyposażone w tryb dzienny i nocny z opcją przełączania między trybami ręcznie i automatycznie.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22F50B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C37CC3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BF3237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20C88C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E7958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Komunikaty tekstowe w języku polskim.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05F48A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734A3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23A4B3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9A5057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ACE9F2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Funkcja wyświetlania trendów objętości, szybkości infuzji oraz ciśnienia.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3BBC87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605A93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17CC2A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16591AA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092288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Wbudowana w pompę możliwość dopasowana ustawień oraz zawartości menu do potrzeb oddziału.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29DA5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AA971B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F63DD92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44C25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AE10BA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wgrania biblioteki leków.</w:t>
            </w:r>
          </w:p>
          <w:p w14:paraId="2688E36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Biblioteka leków, min. 200 leków.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88C93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69D662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56D55F9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38253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F8C6D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Akustyczno-optyczny system alarmów i ostrzeżeń.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3F1C6E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D67813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E43411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2C115AC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4693DF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powietrza w linii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47A84A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B3F80F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DE17CB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5252CDB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E36A00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przypominający –zatrzymana infuzja.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0A7126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479C0A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48E236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E7A90C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F12399B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rozłączenia linii – spadku ciśnienia.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938B21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F14304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BCF5B3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BF05AE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EDBB312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rozładowanego akumulatora.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D71960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9945D6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D60D7A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EADB9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8F719C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okluzji z sygnalizacją miejsca wystąpienia okluzji (przed lub za pompą)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AA5C78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4E4822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47D0BE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73EB75B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C0CD7A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braku lub źle założonego zestawu infuzyjnego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3BAFBD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75C217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304B9EE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C3E7ACE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3F9FB2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informujący o uszkodzeniu urządzenia.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255B4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C2C086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8697A3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01AE571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2E119BD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zbliżającego się rozładowania akumulatora.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A51A8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8F7E06D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182E90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18311F6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54CCC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blokady klawiatury.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C3FDF6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6A63C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2E7CB3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33085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ED4A89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Alarm bliskiego końca infuzji z możliwością zaprogramowania czasu w zakresie min. 1-30 minut.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53487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90F16B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464DC83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6AE6AD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D204673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łączenia pomp w moduły bez użycia dodatkowych elementów.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A3B8E2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CA63D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0311F98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C6C6A47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35F3B8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 xml:space="preserve">Oferowane pompy kompatybilne z posiadanymi przez Zamawiającego stacjami </w:t>
            </w:r>
            <w:proofErr w:type="spellStart"/>
            <w:r w:rsidRPr="00A01F50">
              <w:rPr>
                <w:rFonts w:asciiTheme="minorHAnsi" w:hAnsiTheme="minorHAnsi" w:cstheme="minorHAnsi"/>
                <w:sz w:val="20"/>
              </w:rPr>
              <w:t>Agilia</w:t>
            </w:r>
            <w:proofErr w:type="spellEnd"/>
            <w:r w:rsidRPr="00A01F50">
              <w:rPr>
                <w:rFonts w:asciiTheme="minorHAnsi" w:hAnsiTheme="minorHAnsi" w:cstheme="minorHAnsi"/>
                <w:sz w:val="20"/>
              </w:rPr>
              <w:t xml:space="preserve"> Link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ED3B01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A17187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FAD07DC" w14:textId="77777777" w:rsidTr="003B2E29">
        <w:trPr>
          <w:cantSplit/>
          <w:trHeight w:val="23"/>
          <w:jc w:val="center"/>
        </w:trPr>
        <w:tc>
          <w:tcPr>
            <w:tcW w:w="106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9E6C49" w14:textId="77777777" w:rsidR="00A01F50" w:rsidRPr="00937092" w:rsidRDefault="00A01F50" w:rsidP="00A01F50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Stacja dokująca</w:t>
            </w:r>
          </w:p>
        </w:tc>
      </w:tr>
      <w:tr w:rsidR="00A01F50" w:rsidRPr="00937092" w14:paraId="7A9DE89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C135D83" w14:textId="77777777" w:rsidR="00A01F50" w:rsidRPr="00937092" w:rsidRDefault="00A01F50" w:rsidP="003B2E29">
            <w:pPr>
              <w:widowControl w:val="0"/>
              <w:autoSpaceDN w:val="0"/>
              <w:ind w:left="36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3709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DF73538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Stacja dokująca pozwalająca na jednoczesne zasilanie 8 oferowanych pomp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FC17BE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CBA856F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62DD64A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6F0A699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93408D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Zatrzaskowe samoblokujące mocowanie oferowanych pomp w stacji dokującej bez konieczności demontażu uchwytu mocującego pompy lub uchwytu transportowego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C43B7A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CE89D0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3748F4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4" w:space="0" w:color="000000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26AE9E0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9B31B5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Dowolna zmiana miejsca pomp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strzykawkowych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 xml:space="preserve"> i objętościowych w stacji bez konieczności wyjmowania innych pomp – możliwość niezależnego umieszczania i wyjmowania pomp w i z stacji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ECEC5D7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D88C830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5929EA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9AABA8B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5C32F1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Zasilanie pomp ze stacji dokującej – automatyczne podłączenie zasilania po umieszczeniu pompy w stacji.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4" w:space="0" w:color="000000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BF2D2A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D886B8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3DAA537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4DCF00B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AF19036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mocowania stacji dokującej do rury pionowej (stojaki lub kolumny)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0366CF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000C0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0EAA1B5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600F0B1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D1E9B9B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 xml:space="preserve">Stacje dokujące kompatybilne z posiadanymi przez Zamawiającego pompami </w:t>
            </w:r>
            <w:proofErr w:type="spellStart"/>
            <w:r w:rsidRPr="00A01F50">
              <w:rPr>
                <w:rFonts w:asciiTheme="minorHAnsi" w:hAnsiTheme="minorHAnsi" w:cstheme="minorHAnsi"/>
                <w:sz w:val="20"/>
              </w:rPr>
              <w:t>Agilia</w:t>
            </w:r>
            <w:proofErr w:type="spellEnd"/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A4452F7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A2F9668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761AB2E3" w14:textId="77777777" w:rsidTr="003B2E29">
        <w:trPr>
          <w:cantSplit/>
          <w:trHeight w:val="23"/>
          <w:jc w:val="center"/>
        </w:trPr>
        <w:tc>
          <w:tcPr>
            <w:tcW w:w="10632" w:type="dxa"/>
            <w:gridSpan w:val="4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2F2F2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EE72F9F" w14:textId="77777777" w:rsidR="00A01F50" w:rsidRPr="00937092" w:rsidRDefault="00A01F50" w:rsidP="00A01F50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Statyw jezdny wzmocniony</w:t>
            </w:r>
          </w:p>
        </w:tc>
      </w:tr>
      <w:tr w:rsidR="00A01F50" w:rsidRPr="00937092" w14:paraId="0CB641C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94D9D48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197C5D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Statyw jezdny wzmocniony o zwiększonej nośności.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8ED97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38D7A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1966A9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706C29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963FD62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Wykonany ze stali nierdzewnej i zaprojektowany specjalnie do montażu stacji dokujących wraz z pompami – obciążenie maksymalne 25 kg.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BFC935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AD11F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21DFECD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28448D3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7EA86F2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Wyposażony w 5 podwójnych kółek z hamulcami.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B47AB0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779AE3C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DE4896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C4D17E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0A5B282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Teleskopowe ramię wieszaka do worków infuzyjnych z 6 wieszakami. Regulacja wysokości w zakresie min. 170-220 cm.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FBDCFA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FD372B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5DF9C479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792E9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FCDA01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Możliwość regulacji za pomocą jednej ręki – brak dodatkowych śrub, które pozwalają na ustawienie odpowiedniej wysokości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14423F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E249F2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A01F50" w:rsidRPr="00937092" w14:paraId="7E573EE9" w14:textId="77777777" w:rsidTr="003B2E29">
        <w:trPr>
          <w:cantSplit/>
          <w:trHeight w:val="23"/>
          <w:jc w:val="center"/>
        </w:trPr>
        <w:tc>
          <w:tcPr>
            <w:tcW w:w="1063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1F3502A" w14:textId="77777777" w:rsidR="00A01F50" w:rsidRPr="00937092" w:rsidRDefault="00A01F50" w:rsidP="00A01F50">
            <w:pPr>
              <w:pStyle w:val="Standard"/>
              <w:widowControl w:val="0"/>
              <w:ind w:left="17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37092">
              <w:rPr>
                <w:rFonts w:asciiTheme="minorHAnsi" w:hAnsiTheme="minorHAnsi" w:cstheme="minorHAnsi"/>
                <w:b/>
                <w:bCs/>
                <w:sz w:val="20"/>
              </w:rPr>
              <w:t>Pozostałe wymagania</w:t>
            </w:r>
          </w:p>
        </w:tc>
      </w:tr>
      <w:tr w:rsidR="00A01F50" w:rsidRPr="00937092" w14:paraId="4CFE4FD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1560CF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32FE240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Aparatura fabrycznie nowa, nie powystawowa, nie </w:t>
            </w:r>
            <w:proofErr w:type="spellStart"/>
            <w:r w:rsidRPr="00937092">
              <w:rPr>
                <w:rFonts w:asciiTheme="minorHAnsi" w:hAnsiTheme="minorHAnsi" w:cstheme="minorHAnsi"/>
                <w:sz w:val="20"/>
              </w:rPr>
              <w:t>rekondycjonowana</w:t>
            </w:r>
            <w:proofErr w:type="spellEnd"/>
            <w:r w:rsidRPr="00937092">
              <w:rPr>
                <w:rFonts w:asciiTheme="minorHAnsi" w:hAnsiTheme="minorHAnsi" w:cstheme="minorHAnsi"/>
                <w:sz w:val="20"/>
              </w:rPr>
              <w:t>, rok produkcji min. 2025.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07B79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1B3649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496EABC5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34A6D62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95326DC" w14:textId="18D568BB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 xml:space="preserve">Certyfikat CE 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606B31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A116C25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A01F50" w14:paraId="1614BB91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C086B9" w14:textId="77777777" w:rsidR="00A01F50" w:rsidRPr="00A01F50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5FD3F19" w14:textId="77777777" w:rsidR="00A01F50" w:rsidRPr="00A01F50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Okres gwarancji na wszystkie elementy dostawy licząc od momentu uruchomienia i protokolarnego odbioru całości zrealizowanego zamówienia min. 36 miesiące.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F6A7E65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A01F50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37FBA23" w14:textId="77777777" w:rsidR="00A01F50" w:rsidRPr="00A01F50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8EF763B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46C5DE7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C5B318C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Serwis gwarancyjny i pogwarancyjny.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1889E68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131A764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1D9F57A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597732E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E2A529A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Instrukcja obsługi w języku polskim wraz z deklaracją zgodności z dostawą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AF9BD6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3FA3BEE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11BA5394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1AAFEE4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016C29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Instruktaż personelu medycznego zakresie obsługi sprzętu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99F39FB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6C80514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092418F8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34251F52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0F2F5C5E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Przeglądy gwarancyjne zgodnie z wymaganiami producenta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6F731E1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74415343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01F50" w:rsidRPr="00937092" w14:paraId="235504BF" w14:textId="77777777" w:rsidTr="003B2E29">
        <w:trPr>
          <w:cantSplit/>
          <w:trHeight w:val="23"/>
          <w:jc w:val="center"/>
        </w:trPr>
        <w:tc>
          <w:tcPr>
            <w:tcW w:w="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48DE9DA9" w14:textId="77777777" w:rsidR="00A01F50" w:rsidRPr="00937092" w:rsidRDefault="00A01F50" w:rsidP="00A01F50">
            <w:pPr>
              <w:pStyle w:val="Akapitzlist"/>
              <w:widowControl w:val="0"/>
              <w:numPr>
                <w:ilvl w:val="0"/>
                <w:numId w:val="10"/>
              </w:numPr>
              <w:autoSpaceDN w:val="0"/>
              <w:ind w:left="170" w:firstLine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1F5345BF" w14:textId="77777777" w:rsidR="00A01F50" w:rsidRPr="00937092" w:rsidRDefault="00A01F50" w:rsidP="00A01F50">
            <w:pPr>
              <w:pStyle w:val="Standard"/>
              <w:widowControl w:val="0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Wszelkie czynności przeglądowo-konserwacyjne określone w instrukcji obsługi, innej dokumentacji producenta oraz w obowiązujących przepisach prawnych w okresie gwarancji wykonywane będą na koszt Wykonawcy. Dokumentacja z przedstawionych działań wraz ze stosownym, świadectwem bezpieczeństwa zostanie przekazana Zamawiającemu.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58A772B2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937092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6" w:type="dxa"/>
              <w:bottom w:w="0" w:type="dxa"/>
              <w:right w:w="40" w:type="dxa"/>
            </w:tcMar>
            <w:vAlign w:val="center"/>
          </w:tcPr>
          <w:p w14:paraId="2AE80D5A" w14:textId="77777777" w:rsidR="00A01F50" w:rsidRPr="00937092" w:rsidRDefault="00A01F50" w:rsidP="003B2E29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B343837" w14:textId="77777777" w:rsidR="00B37676" w:rsidRDefault="00B37676" w:rsidP="00A01F50">
      <w:pPr>
        <w:tabs>
          <w:tab w:val="left" w:pos="756"/>
        </w:tabs>
        <w:rPr>
          <w:rFonts w:asciiTheme="minorHAnsi" w:hAnsiTheme="minorHAnsi" w:cstheme="minorHAnsi"/>
          <w:b/>
          <w:sz w:val="22"/>
          <w:szCs w:val="22"/>
        </w:rPr>
      </w:pPr>
    </w:p>
    <w:p w14:paraId="795C7196" w14:textId="77777777" w:rsidR="002D0D97" w:rsidRDefault="002D0D97" w:rsidP="00CE6CE7">
      <w:pPr>
        <w:rPr>
          <w:rFonts w:asciiTheme="minorHAnsi" w:hAnsiTheme="minorHAnsi" w:cstheme="minorHAnsi"/>
          <w:sz w:val="6"/>
          <w:szCs w:val="6"/>
        </w:rPr>
      </w:pPr>
    </w:p>
    <w:p w14:paraId="7693FB77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9BE38D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4DB0B17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A51D893" w14:textId="77777777" w:rsidR="006E0993" w:rsidRPr="003452E0" w:rsidRDefault="006E0993" w:rsidP="006E0993">
      <w:pPr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20EE4D42" w14:textId="77777777" w:rsidR="006E0993" w:rsidRPr="003452E0" w:rsidRDefault="006E0993" w:rsidP="006E0993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1169CE3" w14:textId="77777777" w:rsidR="006E0993" w:rsidRPr="003452E0" w:rsidRDefault="006E0993" w:rsidP="006E0993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</w:t>
      </w:r>
      <w:r w:rsidRPr="003452E0">
        <w:rPr>
          <w:rFonts w:asciiTheme="minorHAnsi" w:hAnsiTheme="minorHAnsi" w:cstheme="minorHAnsi"/>
          <w:sz w:val="22"/>
          <w:szCs w:val="22"/>
        </w:rPr>
        <w:lastRenderedPageBreak/>
        <w:t xml:space="preserve">część oferty – deklarację wykonawcy co do jej treści, stąd brak tego załącznika, zawierającego treści zgodne z wzorem określonym w specyfikacji warunków zamówienia, spowoduje odrzucenie oferty. </w:t>
      </w:r>
    </w:p>
    <w:p w14:paraId="0B8DAE59" w14:textId="77777777" w:rsidR="006E0993" w:rsidRPr="003452E0" w:rsidRDefault="006E0993" w:rsidP="006E0993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556645CD" w14:textId="77777777" w:rsidR="006E0993" w:rsidRPr="003452E0" w:rsidRDefault="006E0993" w:rsidP="006E0993">
      <w:pPr>
        <w:tabs>
          <w:tab w:val="left" w:pos="426"/>
        </w:tabs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F90AF86" w14:textId="77777777" w:rsidR="006E0993" w:rsidRPr="003452E0" w:rsidRDefault="006E0993" w:rsidP="006E0993">
      <w:pPr>
        <w:tabs>
          <w:tab w:val="left" w:pos="426"/>
        </w:tabs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7CAA90A7" w14:textId="77777777" w:rsidR="006E0993" w:rsidRPr="003452E0" w:rsidRDefault="006E0993" w:rsidP="006E0993">
      <w:pPr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67C42DE" w14:textId="77777777" w:rsidR="006E0993" w:rsidRPr="003452E0" w:rsidRDefault="006E0993" w:rsidP="006E0993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DFD36" w14:textId="77777777" w:rsidR="006E0993" w:rsidRPr="003452E0" w:rsidRDefault="006E0993" w:rsidP="006E0993">
      <w:pPr>
        <w:rPr>
          <w:rFonts w:asciiTheme="minorHAnsi" w:hAnsiTheme="minorHAnsi" w:cstheme="minorHAnsi"/>
          <w:sz w:val="22"/>
          <w:szCs w:val="22"/>
        </w:rPr>
      </w:pPr>
    </w:p>
    <w:p w14:paraId="1187F429" w14:textId="77777777" w:rsidR="006E0993" w:rsidRPr="00280A42" w:rsidRDefault="006E0993" w:rsidP="006E0993">
      <w:pPr>
        <w:rPr>
          <w:rFonts w:asciiTheme="minorHAnsi" w:hAnsiTheme="minorHAnsi" w:cstheme="minorHAnsi"/>
          <w:sz w:val="20"/>
          <w:szCs w:val="20"/>
        </w:rPr>
      </w:pPr>
    </w:p>
    <w:p w14:paraId="27AE7FD2" w14:textId="77777777" w:rsidR="006E0993" w:rsidRPr="00280A42" w:rsidRDefault="006E0993" w:rsidP="006E0993">
      <w:pPr>
        <w:pStyle w:val="rozdzia"/>
        <w:spacing w:after="0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6C6A543B" w14:textId="77777777" w:rsidR="006E0993" w:rsidRPr="00280A42" w:rsidRDefault="006E0993" w:rsidP="006E0993">
      <w:pPr>
        <w:pStyle w:val="Zwykytekst2"/>
        <w:rPr>
          <w:rFonts w:asciiTheme="minorHAnsi" w:hAnsiTheme="minorHAnsi" w:cstheme="minorHAnsi"/>
          <w:b/>
          <w:bCs/>
          <w:u w:val="single"/>
        </w:rPr>
      </w:pPr>
    </w:p>
    <w:p w14:paraId="462E5D6F" w14:textId="77777777" w:rsidR="006E0993" w:rsidRDefault="006E0993" w:rsidP="006E0993"/>
    <w:p w14:paraId="163367FF" w14:textId="77777777" w:rsidR="006E0993" w:rsidRPr="00517709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sectPr w:rsidR="006E0993" w:rsidRPr="00517709" w:rsidSect="00517709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EF212" w14:textId="77777777" w:rsidR="00413B37" w:rsidRDefault="00413B37" w:rsidP="00777A53">
      <w:r>
        <w:separator/>
      </w:r>
    </w:p>
  </w:endnote>
  <w:endnote w:type="continuationSeparator" w:id="0">
    <w:p w14:paraId="3CB39852" w14:textId="77777777" w:rsidR="00413B37" w:rsidRDefault="00413B37" w:rsidP="007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4A8FB" w14:textId="77777777" w:rsidR="00413B37" w:rsidRDefault="00413B37" w:rsidP="00777A53">
      <w:r>
        <w:separator/>
      </w:r>
    </w:p>
  </w:footnote>
  <w:footnote w:type="continuationSeparator" w:id="0">
    <w:p w14:paraId="2C2DD39C" w14:textId="77777777" w:rsidR="00413B37" w:rsidRDefault="00413B37" w:rsidP="007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DEA6" w14:textId="74D1F650" w:rsidR="006E0993" w:rsidRDefault="006E0993">
    <w:pPr>
      <w:pStyle w:val="Nagwek"/>
    </w:pPr>
    <w:r w:rsidRPr="00461335">
      <w:rPr>
        <w:noProof/>
        <w:lang w:eastAsia="pl-PL"/>
      </w:rPr>
      <w:drawing>
        <wp:inline distT="0" distB="0" distL="0" distR="0" wp14:anchorId="35E3404B" wp14:editId="61ACED01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C24"/>
    <w:multiLevelType w:val="hybridMultilevel"/>
    <w:tmpl w:val="58AC5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76EE6"/>
    <w:multiLevelType w:val="multilevel"/>
    <w:tmpl w:val="F880E68A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-142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17793007"/>
    <w:multiLevelType w:val="hybridMultilevel"/>
    <w:tmpl w:val="5F8A9D96"/>
    <w:lvl w:ilvl="0" w:tplc="FE48A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06235"/>
    <w:multiLevelType w:val="multilevel"/>
    <w:tmpl w:val="9E768908"/>
    <w:styleLink w:val="WWNum5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B226B"/>
    <w:multiLevelType w:val="singleLevel"/>
    <w:tmpl w:val="04150015"/>
    <w:lvl w:ilvl="0">
      <w:start w:val="1"/>
      <w:numFmt w:val="upperLetter"/>
      <w:lvlText w:val="%1."/>
      <w:lvlJc w:val="left"/>
      <w:pPr>
        <w:ind w:left="536" w:hanging="360"/>
      </w:pPr>
    </w:lvl>
  </w:abstractNum>
  <w:abstractNum w:abstractNumId="7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3327A5"/>
    <w:multiLevelType w:val="hybridMultilevel"/>
    <w:tmpl w:val="87986EF0"/>
    <w:lvl w:ilvl="0" w:tplc="0415000F">
      <w:start w:val="1"/>
      <w:numFmt w:val="decimal"/>
      <w:lvlText w:val="%1.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3014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52876071">
    <w:abstractNumId w:val="6"/>
  </w:num>
  <w:num w:numId="2" w16cid:durableId="12193015">
    <w:abstractNumId w:val="1"/>
  </w:num>
  <w:num w:numId="3" w16cid:durableId="543830997">
    <w:abstractNumId w:val="9"/>
  </w:num>
  <w:num w:numId="4" w16cid:durableId="1345939529">
    <w:abstractNumId w:val="2"/>
  </w:num>
  <w:num w:numId="5" w16cid:durableId="1301350456">
    <w:abstractNumId w:val="8"/>
  </w:num>
  <w:num w:numId="6" w16cid:durableId="850142920">
    <w:abstractNumId w:val="0"/>
  </w:num>
  <w:num w:numId="7" w16cid:durableId="2007898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9403461">
    <w:abstractNumId w:val="3"/>
  </w:num>
  <w:num w:numId="9" w16cid:durableId="995456949">
    <w:abstractNumId w:val="5"/>
  </w:num>
  <w:num w:numId="10" w16cid:durableId="764810864">
    <w:abstractNumId w:val="4"/>
  </w:num>
  <w:num w:numId="11" w16cid:durableId="130561935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48"/>
    <w:rsid w:val="000068DB"/>
    <w:rsid w:val="00025DDA"/>
    <w:rsid w:val="00043067"/>
    <w:rsid w:val="00046ED7"/>
    <w:rsid w:val="000A1558"/>
    <w:rsid w:val="000A3BD8"/>
    <w:rsid w:val="000A4523"/>
    <w:rsid w:val="000A455A"/>
    <w:rsid w:val="000B23EE"/>
    <w:rsid w:val="000E1DC2"/>
    <w:rsid w:val="000E36A1"/>
    <w:rsid w:val="00107BB3"/>
    <w:rsid w:val="00122512"/>
    <w:rsid w:val="001406A4"/>
    <w:rsid w:val="0016781A"/>
    <w:rsid w:val="00177D87"/>
    <w:rsid w:val="00181E65"/>
    <w:rsid w:val="00182A6D"/>
    <w:rsid w:val="001A504C"/>
    <w:rsid w:val="001B6C28"/>
    <w:rsid w:val="001C7937"/>
    <w:rsid w:val="001D1AF0"/>
    <w:rsid w:val="001E6BF4"/>
    <w:rsid w:val="001F324A"/>
    <w:rsid w:val="001F42DA"/>
    <w:rsid w:val="00202152"/>
    <w:rsid w:val="00205476"/>
    <w:rsid w:val="00215974"/>
    <w:rsid w:val="002317CF"/>
    <w:rsid w:val="0023273B"/>
    <w:rsid w:val="00256E64"/>
    <w:rsid w:val="002C18EA"/>
    <w:rsid w:val="002D0D97"/>
    <w:rsid w:val="002D1358"/>
    <w:rsid w:val="002D4010"/>
    <w:rsid w:val="002D6BF6"/>
    <w:rsid w:val="002F3205"/>
    <w:rsid w:val="003005B0"/>
    <w:rsid w:val="0030402C"/>
    <w:rsid w:val="00311A56"/>
    <w:rsid w:val="003135BF"/>
    <w:rsid w:val="0031376E"/>
    <w:rsid w:val="003144BA"/>
    <w:rsid w:val="00325899"/>
    <w:rsid w:val="00333E73"/>
    <w:rsid w:val="003359BA"/>
    <w:rsid w:val="00335FF8"/>
    <w:rsid w:val="00354FDB"/>
    <w:rsid w:val="00363872"/>
    <w:rsid w:val="00383038"/>
    <w:rsid w:val="00395CD2"/>
    <w:rsid w:val="003967E0"/>
    <w:rsid w:val="003D20ED"/>
    <w:rsid w:val="003F0058"/>
    <w:rsid w:val="00402B8B"/>
    <w:rsid w:val="00413B37"/>
    <w:rsid w:val="004332D1"/>
    <w:rsid w:val="00435626"/>
    <w:rsid w:val="004417B6"/>
    <w:rsid w:val="00445BA5"/>
    <w:rsid w:val="004565C0"/>
    <w:rsid w:val="00465C48"/>
    <w:rsid w:val="00466BCA"/>
    <w:rsid w:val="004739F2"/>
    <w:rsid w:val="00490BB2"/>
    <w:rsid w:val="00497B66"/>
    <w:rsid w:val="004B6261"/>
    <w:rsid w:val="004C7784"/>
    <w:rsid w:val="004D141B"/>
    <w:rsid w:val="004D2B8B"/>
    <w:rsid w:val="004D3D40"/>
    <w:rsid w:val="004E2A6B"/>
    <w:rsid w:val="004F24F1"/>
    <w:rsid w:val="004F6BFA"/>
    <w:rsid w:val="00503ACD"/>
    <w:rsid w:val="00511BA0"/>
    <w:rsid w:val="00517709"/>
    <w:rsid w:val="0052584E"/>
    <w:rsid w:val="005332C0"/>
    <w:rsid w:val="0055111B"/>
    <w:rsid w:val="0055169E"/>
    <w:rsid w:val="005529CE"/>
    <w:rsid w:val="005625D6"/>
    <w:rsid w:val="005674BD"/>
    <w:rsid w:val="005717F2"/>
    <w:rsid w:val="005A6F0A"/>
    <w:rsid w:val="005B13B0"/>
    <w:rsid w:val="005B23E8"/>
    <w:rsid w:val="005B3C5E"/>
    <w:rsid w:val="0060201B"/>
    <w:rsid w:val="00606506"/>
    <w:rsid w:val="006111F3"/>
    <w:rsid w:val="00613F02"/>
    <w:rsid w:val="00623147"/>
    <w:rsid w:val="006400EF"/>
    <w:rsid w:val="00643CBC"/>
    <w:rsid w:val="0064472D"/>
    <w:rsid w:val="00654FC3"/>
    <w:rsid w:val="0066128C"/>
    <w:rsid w:val="006763AA"/>
    <w:rsid w:val="006867E3"/>
    <w:rsid w:val="006A6344"/>
    <w:rsid w:val="006A73B8"/>
    <w:rsid w:val="006B2730"/>
    <w:rsid w:val="006B430F"/>
    <w:rsid w:val="006C22B9"/>
    <w:rsid w:val="006C7BD6"/>
    <w:rsid w:val="006D03C4"/>
    <w:rsid w:val="006D3292"/>
    <w:rsid w:val="006E0428"/>
    <w:rsid w:val="006E0993"/>
    <w:rsid w:val="006E1638"/>
    <w:rsid w:val="006F203A"/>
    <w:rsid w:val="006F4B3D"/>
    <w:rsid w:val="006F61E1"/>
    <w:rsid w:val="0070614C"/>
    <w:rsid w:val="0071067B"/>
    <w:rsid w:val="00712038"/>
    <w:rsid w:val="007223C4"/>
    <w:rsid w:val="00725C9D"/>
    <w:rsid w:val="007362C4"/>
    <w:rsid w:val="0075125C"/>
    <w:rsid w:val="00752ABB"/>
    <w:rsid w:val="00757FB4"/>
    <w:rsid w:val="00761331"/>
    <w:rsid w:val="00771758"/>
    <w:rsid w:val="00777A53"/>
    <w:rsid w:val="00781FF7"/>
    <w:rsid w:val="00783995"/>
    <w:rsid w:val="00784E48"/>
    <w:rsid w:val="007862AE"/>
    <w:rsid w:val="00790D10"/>
    <w:rsid w:val="007A4D15"/>
    <w:rsid w:val="007A7478"/>
    <w:rsid w:val="007D106B"/>
    <w:rsid w:val="007D3380"/>
    <w:rsid w:val="00804351"/>
    <w:rsid w:val="00815F83"/>
    <w:rsid w:val="008445DE"/>
    <w:rsid w:val="00847AFC"/>
    <w:rsid w:val="00866E25"/>
    <w:rsid w:val="008955A3"/>
    <w:rsid w:val="008B5BCD"/>
    <w:rsid w:val="008C3054"/>
    <w:rsid w:val="008D1922"/>
    <w:rsid w:val="008D281F"/>
    <w:rsid w:val="008D6AAF"/>
    <w:rsid w:val="008D6DB6"/>
    <w:rsid w:val="0091636B"/>
    <w:rsid w:val="00941498"/>
    <w:rsid w:val="009450C0"/>
    <w:rsid w:val="00946512"/>
    <w:rsid w:val="0099166C"/>
    <w:rsid w:val="009C3EE7"/>
    <w:rsid w:val="009C556C"/>
    <w:rsid w:val="009C7F99"/>
    <w:rsid w:val="009E555B"/>
    <w:rsid w:val="00A01F50"/>
    <w:rsid w:val="00A17C1A"/>
    <w:rsid w:val="00A50158"/>
    <w:rsid w:val="00A8148D"/>
    <w:rsid w:val="00A85304"/>
    <w:rsid w:val="00A95A6A"/>
    <w:rsid w:val="00A9660E"/>
    <w:rsid w:val="00A969C7"/>
    <w:rsid w:val="00AA732A"/>
    <w:rsid w:val="00AA73A0"/>
    <w:rsid w:val="00AB39A6"/>
    <w:rsid w:val="00AB7740"/>
    <w:rsid w:val="00AC1E24"/>
    <w:rsid w:val="00AC38A6"/>
    <w:rsid w:val="00AE2A68"/>
    <w:rsid w:val="00AF301A"/>
    <w:rsid w:val="00B05D6D"/>
    <w:rsid w:val="00B37676"/>
    <w:rsid w:val="00B43629"/>
    <w:rsid w:val="00B52782"/>
    <w:rsid w:val="00B724AC"/>
    <w:rsid w:val="00BA16EF"/>
    <w:rsid w:val="00BA54E8"/>
    <w:rsid w:val="00BB3303"/>
    <w:rsid w:val="00BB5CB4"/>
    <w:rsid w:val="00BB64B9"/>
    <w:rsid w:val="00BE320A"/>
    <w:rsid w:val="00BF5415"/>
    <w:rsid w:val="00C24898"/>
    <w:rsid w:val="00C30FE4"/>
    <w:rsid w:val="00C3199A"/>
    <w:rsid w:val="00C33411"/>
    <w:rsid w:val="00C36239"/>
    <w:rsid w:val="00C47ACA"/>
    <w:rsid w:val="00C54621"/>
    <w:rsid w:val="00C60433"/>
    <w:rsid w:val="00C70710"/>
    <w:rsid w:val="00C71C39"/>
    <w:rsid w:val="00C87E21"/>
    <w:rsid w:val="00C95BAF"/>
    <w:rsid w:val="00CC2247"/>
    <w:rsid w:val="00CE072F"/>
    <w:rsid w:val="00CE6CE7"/>
    <w:rsid w:val="00CF077C"/>
    <w:rsid w:val="00D04FF8"/>
    <w:rsid w:val="00D26A8F"/>
    <w:rsid w:val="00D3284C"/>
    <w:rsid w:val="00D475EE"/>
    <w:rsid w:val="00D4775B"/>
    <w:rsid w:val="00D60057"/>
    <w:rsid w:val="00D678F1"/>
    <w:rsid w:val="00D73987"/>
    <w:rsid w:val="00D76E6D"/>
    <w:rsid w:val="00D8135E"/>
    <w:rsid w:val="00D81833"/>
    <w:rsid w:val="00D839D7"/>
    <w:rsid w:val="00D84A7A"/>
    <w:rsid w:val="00D85686"/>
    <w:rsid w:val="00D86B0E"/>
    <w:rsid w:val="00D90303"/>
    <w:rsid w:val="00D907E8"/>
    <w:rsid w:val="00DA11ED"/>
    <w:rsid w:val="00DA6B18"/>
    <w:rsid w:val="00DB1A88"/>
    <w:rsid w:val="00DC1C19"/>
    <w:rsid w:val="00DC2DCB"/>
    <w:rsid w:val="00DC74E3"/>
    <w:rsid w:val="00DE0A20"/>
    <w:rsid w:val="00DE1130"/>
    <w:rsid w:val="00DE334E"/>
    <w:rsid w:val="00E0250C"/>
    <w:rsid w:val="00E0346A"/>
    <w:rsid w:val="00E0351F"/>
    <w:rsid w:val="00E341F7"/>
    <w:rsid w:val="00E56270"/>
    <w:rsid w:val="00E5759D"/>
    <w:rsid w:val="00E7044C"/>
    <w:rsid w:val="00E7163C"/>
    <w:rsid w:val="00E812DF"/>
    <w:rsid w:val="00E92AE2"/>
    <w:rsid w:val="00E952DB"/>
    <w:rsid w:val="00ED0803"/>
    <w:rsid w:val="00EE062E"/>
    <w:rsid w:val="00EE4C38"/>
    <w:rsid w:val="00EE6C1E"/>
    <w:rsid w:val="00EF6369"/>
    <w:rsid w:val="00F07651"/>
    <w:rsid w:val="00F3512C"/>
    <w:rsid w:val="00F404FE"/>
    <w:rsid w:val="00F41E5A"/>
    <w:rsid w:val="00F42913"/>
    <w:rsid w:val="00F42BCD"/>
    <w:rsid w:val="00F45B1C"/>
    <w:rsid w:val="00F5064F"/>
    <w:rsid w:val="00F54934"/>
    <w:rsid w:val="00F6501B"/>
    <w:rsid w:val="00F65756"/>
    <w:rsid w:val="00F70659"/>
    <w:rsid w:val="00F840D8"/>
    <w:rsid w:val="00F86D23"/>
    <w:rsid w:val="00F876AD"/>
    <w:rsid w:val="00FA4781"/>
    <w:rsid w:val="00FA4808"/>
    <w:rsid w:val="00FF1FF0"/>
    <w:rsid w:val="0D22FC82"/>
    <w:rsid w:val="1107041C"/>
    <w:rsid w:val="2DF458F1"/>
    <w:rsid w:val="33F2D165"/>
    <w:rsid w:val="45DDD25C"/>
    <w:rsid w:val="718C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8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65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65C4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Domylnaczcionkaakapitu3">
    <w:name w:val="Domyślna czcionka akapitu3"/>
    <w:rsid w:val="00465C48"/>
  </w:style>
  <w:style w:type="paragraph" w:customStyle="1" w:styleId="Standard">
    <w:name w:val="Standard"/>
    <w:rsid w:val="00465C48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4"/>
      <w:szCs w:val="20"/>
      <w:lang w:eastAsia="zh-CN" w:bidi="hi-IN"/>
    </w:rPr>
  </w:style>
  <w:style w:type="paragraph" w:customStyle="1" w:styleId="paragraph">
    <w:name w:val="paragraph"/>
    <w:basedOn w:val="Normalny"/>
    <w:rsid w:val="003005B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pellingerror">
    <w:name w:val="spellingerror"/>
    <w:basedOn w:val="Domylnaczcionkaakapitu"/>
    <w:rsid w:val="003005B0"/>
  </w:style>
  <w:style w:type="character" w:customStyle="1" w:styleId="normaltextrun">
    <w:name w:val="normaltextrun"/>
    <w:basedOn w:val="Domylnaczcionkaakapitu"/>
    <w:rsid w:val="003005B0"/>
  </w:style>
  <w:style w:type="character" w:customStyle="1" w:styleId="eop">
    <w:name w:val="eop"/>
    <w:basedOn w:val="Domylnaczcionkaakapitu"/>
    <w:rsid w:val="003005B0"/>
  </w:style>
  <w:style w:type="paragraph" w:styleId="Akapitzlist">
    <w:name w:val="List Paragraph"/>
    <w:basedOn w:val="Normalny"/>
    <w:link w:val="AkapitzlistZnak"/>
    <w:qFormat/>
    <w:rsid w:val="003005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6E0993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E0993"/>
    <w:rPr>
      <w:b/>
      <w:bCs/>
    </w:rPr>
  </w:style>
  <w:style w:type="paragraph" w:customStyle="1" w:styleId="rozdzia">
    <w:name w:val="rozdział"/>
    <w:basedOn w:val="Normalny"/>
    <w:autoRedefine/>
    <w:rsid w:val="006E0993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E099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0993"/>
  </w:style>
  <w:style w:type="character" w:customStyle="1" w:styleId="AkapitzlistZnak">
    <w:name w:val="Akapit z listą Znak"/>
    <w:link w:val="Akapitzlist"/>
    <w:uiPriority w:val="34"/>
    <w:qFormat/>
    <w:locked/>
    <w:rsid w:val="00B376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37676"/>
    <w:pPr>
      <w:suppressLineNumbers/>
    </w:pPr>
    <w:rPr>
      <w:rFonts w:eastAsia="Calibri"/>
      <w:lang w:eastAsia="ar-SA"/>
    </w:rPr>
  </w:style>
  <w:style w:type="numbering" w:customStyle="1" w:styleId="WWNum5">
    <w:name w:val="WWNum5"/>
    <w:basedOn w:val="Bezlisty"/>
    <w:rsid w:val="00A01F50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A01F50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lang w:bidi="hi-IN"/>
    </w:rPr>
  </w:style>
  <w:style w:type="character" w:customStyle="1" w:styleId="TekstpodstawowyZnak">
    <w:name w:val="Tekst podstawowy Znak"/>
    <w:basedOn w:val="Domylnaczcionkaakapitu"/>
    <w:link w:val="Tekstpodstawowy"/>
    <w:rsid w:val="00A01F50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2263</Words>
  <Characters>13578</Characters>
  <Application>Microsoft Office Word</Application>
  <DocSecurity>0</DocSecurity>
  <Lines>113</Lines>
  <Paragraphs>31</Paragraphs>
  <ScaleCrop>false</ScaleCrop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2026-02-10T12:11:00Z</dcterms:created>
  <dcterms:modified xsi:type="dcterms:W3CDTF">2026-03-10T20:14:00Z</dcterms:modified>
</cp:coreProperties>
</file>